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9264CE" w14:textId="77777777" w:rsidR="003E3803" w:rsidRDefault="00000000">
      <w:pPr>
        <w:pStyle w:val="Szvegtrzs"/>
        <w:spacing w:before="240" w:after="480" w:line="240" w:lineRule="auto"/>
        <w:jc w:val="center"/>
        <w:rPr>
          <w:rFonts w:ascii="Times New Roman" w:hAnsi="Times New Roman"/>
          <w:b/>
          <w:bCs/>
        </w:rPr>
      </w:pPr>
      <w:r>
        <w:rPr>
          <w:noProof/>
        </w:rPr>
        <w:drawing>
          <wp:anchor distT="0" distB="0" distL="114300" distR="114300" simplePos="0" relativeHeight="3" behindDoc="0" locked="0" layoutInCell="0" allowOverlap="1" wp14:anchorId="296182CD" wp14:editId="1CE3AAD2">
            <wp:simplePos x="0" y="0"/>
            <wp:positionH relativeFrom="page">
              <wp:posOffset>734695</wp:posOffset>
            </wp:positionH>
            <wp:positionV relativeFrom="page">
              <wp:posOffset>226695</wp:posOffset>
            </wp:positionV>
            <wp:extent cx="1649730" cy="617220"/>
            <wp:effectExtent l="0" t="0" r="0" b="0"/>
            <wp:wrapNone/>
            <wp:docPr id="1" name="Image2" descr="Integrált Jogalkotási Rendsz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2" descr="Integrált Jogalkotási Rendszer"/>
                    <pic:cNvPicPr>
                      <a:picLocks noChangeAspect="1" noChangeArrowheads="1"/>
                    </pic:cNvPicPr>
                  </pic:nvPicPr>
                  <pic:blipFill>
                    <a:blip r:embed="rId7"/>
                    <a:srcRect l="-413" t="-1102" r="-413" b="-1102"/>
                    <a:stretch>
                      <a:fillRect/>
                    </a:stretch>
                  </pic:blipFill>
                  <pic:spPr bwMode="auto">
                    <a:xfrm>
                      <a:off x="0" y="0"/>
                      <a:ext cx="1649730" cy="617220"/>
                    </a:xfrm>
                    <a:prstGeom prst="rect">
                      <a:avLst/>
                    </a:prstGeom>
                  </pic:spPr>
                </pic:pic>
              </a:graphicData>
            </a:graphic>
          </wp:anchor>
        </w:drawing>
      </w:r>
      <w:r>
        <w:rPr>
          <w:rFonts w:ascii="Times New Roman" w:hAnsi="Times New Roman"/>
          <w:b/>
          <w:bCs/>
        </w:rPr>
        <w:t>Harkány Város Önkormányzata Képviselő-testületének .../.... (...) önkormányzati rendelete</w:t>
      </w:r>
    </w:p>
    <w:p w14:paraId="30322BC6" w14:textId="77777777" w:rsidR="003E3803" w:rsidRDefault="00000000">
      <w:pPr>
        <w:pStyle w:val="Szvegtrzs"/>
        <w:spacing w:before="240" w:after="480" w:line="240" w:lineRule="auto"/>
        <w:jc w:val="center"/>
        <w:rPr>
          <w:rFonts w:ascii="Times New Roman" w:hAnsi="Times New Roman"/>
          <w:b/>
          <w:bCs/>
        </w:rPr>
      </w:pPr>
      <w:r>
        <w:rPr>
          <w:rFonts w:ascii="Times New Roman" w:hAnsi="Times New Roman"/>
          <w:b/>
          <w:bCs/>
        </w:rPr>
        <w:t>az önkormányzat tulajdonában levő lakások és nem lakáscélú helyiségek bérletéről szóló 32/2015. (XII.7.) önkormányzati rendelet módosításáról</w:t>
      </w:r>
    </w:p>
    <w:p w14:paraId="0FC604DA" w14:textId="77777777" w:rsidR="003E3803" w:rsidRDefault="00000000">
      <w:pPr>
        <w:pStyle w:val="Szvegtrzs"/>
        <w:spacing w:after="0" w:line="240" w:lineRule="auto"/>
        <w:jc w:val="both"/>
        <w:rPr>
          <w:rFonts w:ascii="Times New Roman" w:hAnsi="Times New Roman"/>
        </w:rPr>
      </w:pPr>
      <w:r>
        <w:rPr>
          <w:rFonts w:ascii="Times New Roman" w:hAnsi="Times New Roman"/>
        </w:rPr>
        <w:t>[1] Harkány Város Önkormányzatának Képviselő-testülete az önkormányzata tulajdonában álló piactér helyiségei bérbeadásának feltételei meghatározásához;</w:t>
      </w:r>
    </w:p>
    <w:p w14:paraId="3AB4E255" w14:textId="77777777" w:rsidR="003E3803" w:rsidRDefault="00000000">
      <w:pPr>
        <w:pStyle w:val="Szvegtrzs"/>
        <w:spacing w:before="120" w:after="0" w:line="240" w:lineRule="auto"/>
        <w:jc w:val="both"/>
        <w:rPr>
          <w:rFonts w:ascii="Times New Roman" w:hAnsi="Times New Roman"/>
        </w:rPr>
      </w:pPr>
      <w:r>
        <w:rPr>
          <w:rFonts w:ascii="Times New Roman" w:hAnsi="Times New Roman"/>
        </w:rPr>
        <w:t>[2] a lakások és helyiségek bérletére, valamint az elidegenítésükre vonatkozó egyes szabályokról szóló 1993. évi LXXVIII. törvény 36. § (2) bekezdésében kapott felhatalmazás alapján, az Alaptörvény 32. cikk (1) bekezdés a), és e) pontjában és a Magyarország helyi önkormányzatairól szóló 2011. évi CLXXXIX. törvény 13. § (1) bekezdés 9. pontjában meghatározott feladatkörében eljárva;</w:t>
      </w:r>
    </w:p>
    <w:p w14:paraId="485BA720" w14:textId="77777777" w:rsidR="003E3803" w:rsidRDefault="00000000">
      <w:pPr>
        <w:pStyle w:val="Szvegtrzs"/>
        <w:spacing w:before="120" w:after="0" w:line="240" w:lineRule="auto"/>
        <w:jc w:val="both"/>
        <w:rPr>
          <w:rFonts w:ascii="Times New Roman" w:hAnsi="Times New Roman"/>
        </w:rPr>
      </w:pPr>
      <w:r>
        <w:rPr>
          <w:rFonts w:ascii="Times New Roman" w:hAnsi="Times New Roman"/>
        </w:rPr>
        <w:t>[3] az önkormányzat tulajdonában levő lakások és nem lakáscélú helyiségek bérletéről szóló 32/2015. (XII.7.) önkormányzati rendelet módosításáról a következőket rendeli el:</w:t>
      </w:r>
    </w:p>
    <w:p w14:paraId="7F276511" w14:textId="77777777" w:rsidR="003E3803" w:rsidRDefault="00000000">
      <w:pPr>
        <w:pStyle w:val="Szvegtrzs"/>
        <w:spacing w:before="240" w:after="240" w:line="240" w:lineRule="auto"/>
        <w:jc w:val="center"/>
        <w:rPr>
          <w:rFonts w:ascii="Times New Roman" w:hAnsi="Times New Roman"/>
          <w:b/>
          <w:bCs/>
        </w:rPr>
      </w:pPr>
      <w:r>
        <w:rPr>
          <w:rFonts w:ascii="Times New Roman" w:hAnsi="Times New Roman"/>
          <w:b/>
          <w:bCs/>
        </w:rPr>
        <w:t>1. §</w:t>
      </w:r>
    </w:p>
    <w:p w14:paraId="255D3357" w14:textId="77777777" w:rsidR="003E3803" w:rsidRDefault="00000000">
      <w:pPr>
        <w:pStyle w:val="Szvegtrzs"/>
        <w:spacing w:after="0" w:line="240" w:lineRule="auto"/>
        <w:jc w:val="both"/>
        <w:rPr>
          <w:rFonts w:ascii="Times New Roman" w:hAnsi="Times New Roman"/>
        </w:rPr>
      </w:pPr>
      <w:r>
        <w:rPr>
          <w:rFonts w:ascii="Times New Roman" w:hAnsi="Times New Roman"/>
        </w:rPr>
        <w:t xml:space="preserve">(1) Az önkormányzat tulajdonában levő lakások és nem lakáscélú helyiségek bérletéről szóló 32/2015. (XII.7.) önkormányzati rendelet 26. §-a </w:t>
      </w:r>
      <w:proofErr w:type="spellStart"/>
      <w:r>
        <w:rPr>
          <w:rFonts w:ascii="Times New Roman" w:hAnsi="Times New Roman"/>
        </w:rPr>
        <w:t>a</w:t>
      </w:r>
      <w:proofErr w:type="spellEnd"/>
      <w:r>
        <w:rPr>
          <w:rFonts w:ascii="Times New Roman" w:hAnsi="Times New Roman"/>
        </w:rPr>
        <w:t xml:space="preserve"> következő (1</w:t>
      </w:r>
      <w:proofErr w:type="gramStart"/>
      <w:r>
        <w:rPr>
          <w:rFonts w:ascii="Times New Roman" w:hAnsi="Times New Roman"/>
        </w:rPr>
        <w:t>a)–</w:t>
      </w:r>
      <w:proofErr w:type="gramEnd"/>
      <w:r>
        <w:rPr>
          <w:rFonts w:ascii="Times New Roman" w:hAnsi="Times New Roman"/>
        </w:rPr>
        <w:t>(1c) bekezdéssel egészül ki:</w:t>
      </w:r>
    </w:p>
    <w:p w14:paraId="03875552" w14:textId="77777777" w:rsidR="003E3803" w:rsidRDefault="00000000">
      <w:pPr>
        <w:pStyle w:val="Szvegtrzs"/>
        <w:spacing w:before="240" w:after="0" w:line="240" w:lineRule="auto"/>
        <w:jc w:val="both"/>
        <w:rPr>
          <w:rFonts w:ascii="Times New Roman" w:hAnsi="Times New Roman"/>
        </w:rPr>
      </w:pPr>
      <w:r>
        <w:rPr>
          <w:rFonts w:ascii="Times New Roman" w:hAnsi="Times New Roman"/>
        </w:rPr>
        <w:t xml:space="preserve">„(1a) Az (1) bekezdéstől eltérően a piaci árusítóhelyek </w:t>
      </w:r>
      <w:proofErr w:type="gramStart"/>
      <w:r>
        <w:rPr>
          <w:rFonts w:ascii="Times New Roman" w:hAnsi="Times New Roman"/>
        </w:rPr>
        <w:t>igénybe vétele</w:t>
      </w:r>
      <w:proofErr w:type="gramEnd"/>
      <w:r>
        <w:rPr>
          <w:rFonts w:ascii="Times New Roman" w:hAnsi="Times New Roman"/>
        </w:rPr>
        <w:t xml:space="preserve"> kétféle módon lehetséges: bérleti szerződéssel vagy napi helyhasználattal; a bérleti szerződés megkötése a piacszabályzat szerinti speciális pályázati eljárás -igénybejelentés és annak üzemeltető általi elfogadása- alapján történik. </w:t>
      </w:r>
    </w:p>
    <w:p w14:paraId="79E0CD8D" w14:textId="77777777" w:rsidR="003E3803" w:rsidRDefault="00000000">
      <w:pPr>
        <w:pStyle w:val="Szvegtrzs"/>
        <w:spacing w:before="240" w:after="0" w:line="240" w:lineRule="auto"/>
        <w:jc w:val="both"/>
        <w:rPr>
          <w:rFonts w:ascii="Times New Roman" w:hAnsi="Times New Roman"/>
        </w:rPr>
      </w:pPr>
      <w:r>
        <w:rPr>
          <w:rFonts w:ascii="Times New Roman" w:hAnsi="Times New Roman"/>
        </w:rPr>
        <w:t xml:space="preserve">(1b) A bérleti jogviszony alanyai a piac üzemeltetője, mint bérbeadó és az árusító, mint bérlő. Az árusításra állandó hely biztosítható határozatlan időre szóló bérleti szerződés alapján, piaci közterület, valamint asztal határozott időre is bérbe vehető. Ez esteben a bérleti jogviszony időtartama a tényleges igénybevétel időtartamától függetlenül legalább két hónap. </w:t>
      </w:r>
    </w:p>
    <w:p w14:paraId="403AA537" w14:textId="77777777" w:rsidR="003E3803" w:rsidRDefault="00000000">
      <w:pPr>
        <w:pStyle w:val="Szvegtrzs"/>
        <w:spacing w:before="240" w:after="240" w:line="240" w:lineRule="auto"/>
        <w:jc w:val="both"/>
        <w:rPr>
          <w:rFonts w:ascii="Times New Roman" w:hAnsi="Times New Roman"/>
        </w:rPr>
      </w:pPr>
      <w:r>
        <w:rPr>
          <w:rFonts w:ascii="Times New Roman" w:hAnsi="Times New Roman"/>
        </w:rPr>
        <w:t xml:space="preserve">(1c) Asztalokat és piaci közterületet napi helyhasználat alapján, naponta esedékes napi helyhasználati díj (továbbiakban: helypénz) megfizetése ellenében is igénybe lehet venni. Napi helyhasználat esetén az </w:t>
      </w:r>
      <w:proofErr w:type="spellStart"/>
      <w:r>
        <w:rPr>
          <w:rFonts w:ascii="Times New Roman" w:hAnsi="Times New Roman"/>
        </w:rPr>
        <w:t>árusítóhelyet</w:t>
      </w:r>
      <w:proofErr w:type="spellEnd"/>
      <w:r>
        <w:rPr>
          <w:rFonts w:ascii="Times New Roman" w:hAnsi="Times New Roman"/>
        </w:rPr>
        <w:t xml:space="preserve"> a piacfelügyelő jelöli ki</w:t>
      </w:r>
      <w:proofErr w:type="gramStart"/>
      <w:r>
        <w:rPr>
          <w:rFonts w:ascii="Times New Roman" w:hAnsi="Times New Roman"/>
        </w:rPr>
        <w:t>. ”</w:t>
      </w:r>
      <w:proofErr w:type="gramEnd"/>
    </w:p>
    <w:p w14:paraId="24E106B9" w14:textId="77777777" w:rsidR="003E3803" w:rsidRDefault="00000000">
      <w:pPr>
        <w:pStyle w:val="Szvegtrzs"/>
        <w:spacing w:before="240" w:after="0" w:line="240" w:lineRule="auto"/>
        <w:jc w:val="both"/>
        <w:rPr>
          <w:rFonts w:ascii="Times New Roman" w:hAnsi="Times New Roman"/>
        </w:rPr>
      </w:pPr>
      <w:r>
        <w:rPr>
          <w:rFonts w:ascii="Times New Roman" w:hAnsi="Times New Roman"/>
        </w:rPr>
        <w:t>(2) Az önkormányzat tulajdonában levő lakások és nem lakáscélú helyiségek bérletéről szóló 32/2015. (XII.7.) önkormányzati rendelet 26. § (2) bekezdése helyébe a következő rendelkezés lép:</w:t>
      </w:r>
    </w:p>
    <w:p w14:paraId="67CBB594" w14:textId="77777777" w:rsidR="003E3803" w:rsidRDefault="00000000">
      <w:pPr>
        <w:pStyle w:val="Szvegtrzs"/>
        <w:spacing w:before="240" w:after="0" w:line="240" w:lineRule="auto"/>
        <w:jc w:val="both"/>
        <w:rPr>
          <w:rFonts w:ascii="Times New Roman" w:hAnsi="Times New Roman"/>
        </w:rPr>
      </w:pPr>
      <w:r>
        <w:rPr>
          <w:rFonts w:ascii="Times New Roman" w:hAnsi="Times New Roman"/>
        </w:rPr>
        <w:t>„(2) Az (1) bekezdés szerinti pályázati eljárás lefolytatása az alábbi esetekben mellőzhető:</w:t>
      </w:r>
    </w:p>
    <w:p w14:paraId="0D01EED2" w14:textId="77777777" w:rsidR="003E3803" w:rsidRDefault="00000000">
      <w:pPr>
        <w:pStyle w:val="Szvegtrzs"/>
        <w:spacing w:after="0" w:line="240" w:lineRule="auto"/>
        <w:ind w:left="580" w:hanging="560"/>
        <w:jc w:val="both"/>
        <w:rPr>
          <w:rFonts w:ascii="Times New Roman" w:hAnsi="Times New Roman"/>
        </w:rPr>
      </w:pPr>
      <w:r>
        <w:rPr>
          <w:rFonts w:ascii="Times New Roman" w:hAnsi="Times New Roman"/>
          <w:i/>
          <w:iCs/>
        </w:rPr>
        <w:t>a)</w:t>
      </w:r>
      <w:r>
        <w:rPr>
          <w:rFonts w:ascii="Times New Roman" w:hAnsi="Times New Roman"/>
        </w:rPr>
        <w:tab/>
        <w:t>nonprofit szervezetek részére, feladataik ellátása érdekében biztosított helyiségek bérbeadása,</w:t>
      </w:r>
    </w:p>
    <w:p w14:paraId="1E33B207" w14:textId="77777777" w:rsidR="003E3803" w:rsidRDefault="00000000">
      <w:pPr>
        <w:pStyle w:val="Szvegtrzs"/>
        <w:spacing w:after="0" w:line="240" w:lineRule="auto"/>
        <w:ind w:left="580" w:hanging="560"/>
        <w:jc w:val="both"/>
        <w:rPr>
          <w:rFonts w:ascii="Times New Roman" w:hAnsi="Times New Roman"/>
        </w:rPr>
      </w:pPr>
      <w:r>
        <w:rPr>
          <w:rFonts w:ascii="Times New Roman" w:hAnsi="Times New Roman"/>
          <w:i/>
          <w:iCs/>
        </w:rPr>
        <w:t>b)</w:t>
      </w:r>
      <w:r>
        <w:rPr>
          <w:rFonts w:ascii="Times New Roman" w:hAnsi="Times New Roman"/>
        </w:rPr>
        <w:tab/>
        <w:t>egy hónapnál rövidebb időtartamra történő bérbeadás, vagy</w:t>
      </w:r>
    </w:p>
    <w:p w14:paraId="404171D0" w14:textId="77777777" w:rsidR="003E3803" w:rsidRDefault="00000000">
      <w:pPr>
        <w:pStyle w:val="Szvegtrzs"/>
        <w:spacing w:after="240" w:line="240" w:lineRule="auto"/>
        <w:ind w:left="580" w:hanging="560"/>
        <w:jc w:val="both"/>
        <w:rPr>
          <w:rFonts w:ascii="Times New Roman" w:hAnsi="Times New Roman"/>
        </w:rPr>
      </w:pPr>
      <w:r>
        <w:rPr>
          <w:rFonts w:ascii="Times New Roman" w:hAnsi="Times New Roman"/>
          <w:i/>
          <w:iCs/>
        </w:rPr>
        <w:t>c)</w:t>
      </w:r>
      <w:r>
        <w:rPr>
          <w:rFonts w:ascii="Times New Roman" w:hAnsi="Times New Roman"/>
        </w:rPr>
        <w:tab/>
        <w:t>kiemelt társadalmi cél (különösen munkanélküliek, fogyatékkal élők, megváltozott munkaképességűek foglalkoztatása) érdekében tevékenységet folytató gazdasági társaság vagy szervezet részére történő bérbeadás.”</w:t>
      </w:r>
    </w:p>
    <w:p w14:paraId="29B8060A" w14:textId="77777777" w:rsidR="003E3803" w:rsidRDefault="00000000">
      <w:pPr>
        <w:pStyle w:val="Szvegtrzs"/>
        <w:spacing w:before="240" w:after="240" w:line="240" w:lineRule="auto"/>
        <w:jc w:val="center"/>
        <w:rPr>
          <w:rFonts w:ascii="Times New Roman" w:hAnsi="Times New Roman"/>
          <w:b/>
          <w:bCs/>
        </w:rPr>
      </w:pPr>
      <w:r>
        <w:rPr>
          <w:rFonts w:ascii="Times New Roman" w:hAnsi="Times New Roman"/>
          <w:b/>
          <w:bCs/>
        </w:rPr>
        <w:t>2. §</w:t>
      </w:r>
    </w:p>
    <w:p w14:paraId="13CC806E" w14:textId="77777777" w:rsidR="003E3803" w:rsidRDefault="00000000">
      <w:pPr>
        <w:pStyle w:val="Szvegtrzs"/>
        <w:spacing w:after="0" w:line="240" w:lineRule="auto"/>
        <w:jc w:val="both"/>
        <w:rPr>
          <w:rFonts w:ascii="Times New Roman" w:hAnsi="Times New Roman"/>
        </w:rPr>
        <w:sectPr w:rsidR="003E3803">
          <w:headerReference w:type="even" r:id="rId8"/>
          <w:headerReference w:type="default" r:id="rId9"/>
          <w:footerReference w:type="even" r:id="rId10"/>
          <w:footerReference w:type="default" r:id="rId11"/>
          <w:headerReference w:type="first" r:id="rId12"/>
          <w:footerReference w:type="first" r:id="rId13"/>
          <w:pgSz w:w="11906" w:h="16668"/>
          <w:pgMar w:top="1473" w:right="1077" w:bottom="1474" w:left="1077" w:header="340" w:footer="794" w:gutter="0"/>
          <w:cols w:space="708"/>
          <w:formProt w:val="0"/>
          <w:titlePg/>
          <w:docGrid w:linePitch="600" w:charSpace="32768"/>
        </w:sectPr>
      </w:pPr>
      <w:r>
        <w:rPr>
          <w:rFonts w:ascii="Times New Roman" w:hAnsi="Times New Roman"/>
        </w:rPr>
        <w:t>Ez a rendelet 2026. augusztus 31-én 12 órakor lép hatályba.</w:t>
      </w:r>
    </w:p>
    <w:p w14:paraId="2767CACA" w14:textId="77777777" w:rsidR="003E3803" w:rsidRDefault="003E3803">
      <w:pPr>
        <w:pStyle w:val="Szvegtrzs"/>
        <w:spacing w:after="0"/>
        <w:jc w:val="center"/>
        <w:rPr>
          <w:rFonts w:ascii="Times New Roman" w:hAnsi="Times New Roman"/>
        </w:rPr>
      </w:pPr>
    </w:p>
    <w:p w14:paraId="53DB5E28" w14:textId="77777777" w:rsidR="003E3803" w:rsidRDefault="00000000">
      <w:pPr>
        <w:pStyle w:val="Szvegtrzs"/>
        <w:spacing w:after="150" w:line="240" w:lineRule="auto"/>
        <w:ind w:left="150" w:right="150"/>
        <w:jc w:val="center"/>
        <w:rPr>
          <w:rFonts w:ascii="Times New Roman" w:hAnsi="Times New Roman"/>
        </w:rPr>
      </w:pPr>
      <w:r>
        <w:rPr>
          <w:rFonts w:ascii="Times New Roman" w:hAnsi="Times New Roman"/>
        </w:rPr>
        <w:t>Végső előterjesztői indokolás</w:t>
      </w:r>
    </w:p>
    <w:p w14:paraId="21B7F5E8" w14:textId="77777777" w:rsidR="003E3803" w:rsidRDefault="00000000">
      <w:pPr>
        <w:pStyle w:val="Szvegtrzs"/>
        <w:spacing w:before="150" w:after="150" w:line="240" w:lineRule="auto"/>
        <w:ind w:left="150" w:right="150"/>
        <w:jc w:val="both"/>
        <w:rPr>
          <w:rFonts w:ascii="Times New Roman" w:hAnsi="Times New Roman"/>
        </w:rPr>
      </w:pPr>
      <w:r>
        <w:rPr>
          <w:rFonts w:ascii="Times New Roman" w:hAnsi="Times New Roman"/>
        </w:rPr>
        <w:t>Tekintettel arra, hogy az önkormányzat tulajdonában álló piaci helyiségek az általánostól eltérő szabályok szerint, kizárólag a piacon folytatható tevékenységekre, egyes helyiségek pedig ehhez képest is korlátozottabb, csak helyi termékek forgalmazására hasznosíthatóak, adhatók bérbe- figyelemmel a piacot érintő pályázati kötöttségekre</w:t>
      </w:r>
      <w:proofErr w:type="gramStart"/>
      <w:r>
        <w:rPr>
          <w:rFonts w:ascii="Times New Roman" w:hAnsi="Times New Roman"/>
        </w:rPr>
        <w:t>- ,</w:t>
      </w:r>
      <w:proofErr w:type="gramEnd"/>
      <w:r>
        <w:rPr>
          <w:rFonts w:ascii="Times New Roman" w:hAnsi="Times New Roman"/>
        </w:rPr>
        <w:t xml:space="preserve"> szükséges a piaci helyiségek bérbeadására a rendeletben foglaltaktól eltérő szabályok rögzítése, melyek a piacszabályzatban kerültek meghatározásra. Fenti eltérő szabályozásra utal a   rendelet.</w:t>
      </w:r>
    </w:p>
    <w:sectPr w:rsidR="003E3803">
      <w:headerReference w:type="even" r:id="rId14"/>
      <w:headerReference w:type="default" r:id="rId15"/>
      <w:footerReference w:type="even" r:id="rId16"/>
      <w:footerReference w:type="default" r:id="rId17"/>
      <w:headerReference w:type="first" r:id="rId18"/>
      <w:footerReference w:type="first" r:id="rId19"/>
      <w:pgSz w:w="11906" w:h="16668"/>
      <w:pgMar w:top="680" w:right="1077" w:bottom="1525" w:left="1077" w:header="340" w:footer="794" w:gutter="0"/>
      <w:cols w:space="708"/>
      <w:formProt w:val="0"/>
      <w:titlePg/>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EAA662" w14:textId="77777777" w:rsidR="000541A3" w:rsidRDefault="000541A3">
      <w:r>
        <w:separator/>
      </w:r>
    </w:p>
  </w:endnote>
  <w:endnote w:type="continuationSeparator" w:id="0">
    <w:p w14:paraId="0967456D" w14:textId="77777777" w:rsidR="000541A3" w:rsidRDefault="000541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Liberation Serif">
    <w:altName w:val="Times New Roman"/>
    <w:charset w:val="01"/>
    <w:family w:val="roman"/>
    <w:pitch w:val="variable"/>
  </w:font>
  <w:font w:name="Noto Serif CJK SC">
    <w:panose1 w:val="00000000000000000000"/>
    <w:charset w:val="00"/>
    <w:family w:val="roman"/>
    <w:notTrueType/>
    <w:pitch w:val="default"/>
  </w:font>
  <w:font w:name="Lohit Devanagari">
    <w:altName w:val="Cambria"/>
    <w:panose1 w:val="00000000000000000000"/>
    <w:charset w:val="00"/>
    <w:family w:val="roman"/>
    <w:notTrueType/>
    <w:pitch w:val="default"/>
  </w:font>
  <w:font w:name="Liberation Sans">
    <w:altName w:val="Arial"/>
    <w:charset w:val="01"/>
    <w:family w:val="swiss"/>
    <w:pitch w:val="variable"/>
  </w:font>
  <w:font w:name="Noto Sans CJK SC">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OpenSymbol">
    <w:altName w:val="Segoe UI Symbol"/>
    <w:charset w:val="02"/>
    <w:family w:val="auto"/>
    <w:pitch w:val="default"/>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373C2F" w14:textId="77777777" w:rsidR="003E3803" w:rsidRDefault="00000000">
    <w:pPr>
      <w:pStyle w:val="llb"/>
      <w:jc w:val="center"/>
    </w:pPr>
    <w:r>
      <w:fldChar w:fldCharType="begin"/>
    </w:r>
    <w:r>
      <w:instrText>PAGE</w:instrText>
    </w:r>
    <w:r>
      <w:fldChar w:fldCharType="separate"/>
    </w:r>
    <w: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4A2BE3" w14:textId="77777777" w:rsidR="003E3803" w:rsidRDefault="00000000">
    <w:pPr>
      <w:pStyle w:val="llb"/>
      <w:jc w:val="center"/>
    </w:pPr>
    <w:r>
      <w:fldChar w:fldCharType="begin"/>
    </w:r>
    <w:r>
      <w:instrText>PAGE</w:instrText>
    </w:r>
    <w:r>
      <w:fldChar w:fldCharType="separate"/>
    </w:r>
    <w:r>
      <w:t>0</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FA22A6" w14:textId="77777777" w:rsidR="003E3803" w:rsidRDefault="00000000">
    <w:pPr>
      <w:pStyle w:val="llb"/>
      <w:jc w:val="center"/>
    </w:pPr>
    <w:r>
      <w:fldChar w:fldCharType="begin"/>
    </w:r>
    <w:r>
      <w:instrText>PAGE</w:instrText>
    </w:r>
    <w:r>
      <w:fldChar w:fldCharType="separate"/>
    </w:r>
    <w:r>
      <w:t>1</w:t>
    </w:r>
    <w: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CCFBB2" w14:textId="77777777" w:rsidR="003E3803" w:rsidRDefault="00000000">
    <w:pPr>
      <w:pStyle w:val="llb"/>
      <w:jc w:val="center"/>
    </w:pPr>
    <w:r>
      <w:fldChar w:fldCharType="begin"/>
    </w:r>
    <w:r>
      <w:instrText>PAGE</w:instrText>
    </w:r>
    <w:r>
      <w:fldChar w:fldCharType="separate"/>
    </w:r>
    <w:r>
      <w:t>0</w:t>
    </w:r>
    <w: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61AF71" w14:textId="77777777" w:rsidR="003E3803" w:rsidRDefault="00000000">
    <w:pPr>
      <w:pStyle w:val="llb"/>
      <w:jc w:val="center"/>
    </w:pPr>
    <w:r>
      <w:fldChar w:fldCharType="begin"/>
    </w:r>
    <w:r>
      <w:instrText>PAGE</w:instrText>
    </w:r>
    <w:r>
      <w:fldChar w:fldCharType="separate"/>
    </w:r>
    <w:r>
      <w:t>0</w:t>
    </w:r>
    <w: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436973" w14:textId="77777777" w:rsidR="003E3803" w:rsidRDefault="00000000">
    <w:pPr>
      <w:pStyle w:val="llb"/>
      <w:jc w:val="center"/>
    </w:pPr>
    <w:r>
      <w:fldChar w:fldCharType="begin"/>
    </w:r>
    <w:r>
      <w:instrText>PAGE</w:instrText>
    </w:r>
    <w:r>
      <w:fldChar w:fldCharType="separate"/>
    </w:r>
    <w:r>
      <w:t>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C9DDF0" w14:textId="77777777" w:rsidR="000541A3" w:rsidRDefault="000541A3">
      <w:r>
        <w:separator/>
      </w:r>
    </w:p>
  </w:footnote>
  <w:footnote w:type="continuationSeparator" w:id="0">
    <w:p w14:paraId="62461B64" w14:textId="77777777" w:rsidR="000541A3" w:rsidRDefault="000541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7D5526" w14:textId="77777777" w:rsidR="003E3803" w:rsidRDefault="003E380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381D7D" w14:textId="77777777" w:rsidR="003E3803" w:rsidRDefault="003E3803"/>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6917" w:type="dxa"/>
      <w:jc w:val="right"/>
      <w:tblLayout w:type="fixed"/>
      <w:tblCellMar>
        <w:top w:w="28" w:type="dxa"/>
        <w:left w:w="28" w:type="dxa"/>
        <w:bottom w:w="28" w:type="dxa"/>
        <w:right w:w="28" w:type="dxa"/>
      </w:tblCellMar>
      <w:tblLook w:val="04A0" w:firstRow="1" w:lastRow="0" w:firstColumn="1" w:lastColumn="0" w:noHBand="0" w:noVBand="1"/>
    </w:tblPr>
    <w:tblGrid>
      <w:gridCol w:w="5883"/>
      <w:gridCol w:w="1034"/>
    </w:tblGrid>
    <w:tr w:rsidR="003E3803" w14:paraId="10B703E1" w14:textId="77777777">
      <w:trPr>
        <w:cantSplit/>
        <w:jc w:val="right"/>
      </w:trPr>
      <w:tc>
        <w:tcPr>
          <w:tcW w:w="5883" w:type="dxa"/>
          <w:tcBorders>
            <w:top w:val="single" w:sz="2" w:space="0" w:color="000000"/>
            <w:left w:val="single" w:sz="2" w:space="0" w:color="000000"/>
            <w:bottom w:val="single" w:sz="2" w:space="0" w:color="000000"/>
          </w:tcBorders>
        </w:tcPr>
        <w:p w14:paraId="79EF7D00" w14:textId="77777777" w:rsidR="003E3803" w:rsidRDefault="00000000">
          <w:pPr>
            <w:pStyle w:val="TableContents"/>
            <w:pageBreakBefore/>
            <w:rPr>
              <w:rFonts w:ascii="Times New Roman" w:hAnsi="Times New Roman"/>
              <w:color w:val="808080"/>
              <w:sz w:val="20"/>
              <w:szCs w:val="20"/>
            </w:rPr>
          </w:pPr>
          <w:r>
            <w:rPr>
              <w:rFonts w:ascii="Times New Roman" w:hAnsi="Times New Roman"/>
              <w:color w:val="808080"/>
              <w:sz w:val="20"/>
              <w:szCs w:val="20"/>
            </w:rPr>
            <w:t>Az iromány az Integrált Jogalkotási Rendszerben készült.</w:t>
          </w:r>
        </w:p>
        <w:p w14:paraId="739B54D2" w14:textId="77777777" w:rsidR="003E3803" w:rsidRDefault="00000000">
          <w:pPr>
            <w:pStyle w:val="TableContents"/>
            <w:rPr>
              <w:rFonts w:ascii="Times New Roman" w:hAnsi="Times New Roman"/>
              <w:color w:val="808080"/>
              <w:sz w:val="20"/>
              <w:szCs w:val="20"/>
            </w:rPr>
          </w:pPr>
          <w:r>
            <w:rPr>
              <w:rFonts w:ascii="Times New Roman" w:hAnsi="Times New Roman"/>
              <w:color w:val="808080"/>
              <w:sz w:val="20"/>
              <w:szCs w:val="20"/>
            </w:rPr>
            <w:t>IJR azonosító: LL-125329865-1</w:t>
          </w:r>
        </w:p>
        <w:p w14:paraId="2911E4D1" w14:textId="77777777" w:rsidR="003E3803" w:rsidRDefault="00000000">
          <w:pPr>
            <w:pStyle w:val="TableContents"/>
            <w:rPr>
              <w:rFonts w:ascii="Times New Roman" w:hAnsi="Times New Roman"/>
              <w:color w:val="808080"/>
              <w:sz w:val="20"/>
              <w:szCs w:val="20"/>
            </w:rPr>
          </w:pPr>
          <w:r>
            <w:rPr>
              <w:rFonts w:ascii="Times New Roman" w:hAnsi="Times New Roman"/>
              <w:color w:val="808080"/>
              <w:sz w:val="20"/>
              <w:szCs w:val="20"/>
            </w:rPr>
            <w:t>Készült: 2026.08.28. 08:50</w:t>
          </w:r>
        </w:p>
        <w:p w14:paraId="2E83E863" w14:textId="77777777" w:rsidR="003E3803" w:rsidRDefault="00000000">
          <w:pPr>
            <w:pStyle w:val="TableContents"/>
            <w:rPr>
              <w:rFonts w:ascii="Times New Roman" w:hAnsi="Times New Roman"/>
              <w:sz w:val="20"/>
              <w:szCs w:val="20"/>
            </w:rPr>
          </w:pPr>
          <w:r>
            <w:rPr>
              <w:rFonts w:ascii="Times New Roman" w:hAnsi="Times New Roman"/>
              <w:color w:val="808080"/>
              <w:sz w:val="20"/>
              <w:szCs w:val="20"/>
            </w:rPr>
            <w:t>Nyomtatta:</w:t>
          </w:r>
          <w:r>
            <w:rPr>
              <w:rFonts w:ascii="Times New Roman" w:hAnsi="Times New Roman"/>
              <w:sz w:val="20"/>
              <w:szCs w:val="20"/>
            </w:rPr>
            <w:t xml:space="preserve"> </w:t>
          </w:r>
          <w:r>
            <w:rPr>
              <w:rFonts w:ascii="Times New Roman" w:hAnsi="Times New Roman"/>
              <w:noProof/>
              <w:color w:val="808080"/>
              <w:sz w:val="20"/>
              <w:szCs w:val="20"/>
            </w:rPr>
            <w:drawing>
              <wp:anchor distT="0" distB="0" distL="0" distR="0" simplePos="0" relativeHeight="2" behindDoc="0" locked="0" layoutInCell="0" allowOverlap="1" wp14:anchorId="6997AAF5" wp14:editId="7A867455">
                <wp:simplePos x="0" y="0"/>
                <wp:positionH relativeFrom="column">
                  <wp:posOffset>3742690</wp:posOffset>
                </wp:positionH>
                <wp:positionV relativeFrom="paragraph">
                  <wp:posOffset>-443865</wp:posOffset>
                </wp:positionV>
                <wp:extent cx="603885" cy="598170"/>
                <wp:effectExtent l="0" t="0" r="0" b="0"/>
                <wp:wrapNone/>
                <wp:docPr id="2" name="QR-kó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QR-kód"/>
                        <pic:cNvPicPr>
                          <a:picLocks noChangeAspect="1" noChangeArrowheads="1"/>
                        </pic:cNvPicPr>
                      </pic:nvPicPr>
                      <pic:blipFill>
                        <a:blip r:embed="rId1"/>
                        <a:stretch>
                          <a:fillRect/>
                        </a:stretch>
                      </pic:blipFill>
                      <pic:spPr bwMode="auto">
                        <a:xfrm>
                          <a:off x="0" y="0"/>
                          <a:ext cx="603885" cy="598170"/>
                        </a:xfrm>
                        <a:prstGeom prst="rect">
                          <a:avLst/>
                        </a:prstGeom>
                      </pic:spPr>
                    </pic:pic>
                  </a:graphicData>
                </a:graphic>
              </wp:anchor>
            </w:drawing>
          </w:r>
          <w:r>
            <w:rPr>
              <w:rFonts w:ascii="Times New Roman" w:hAnsi="Times New Roman"/>
              <w:color w:val="808080"/>
              <w:sz w:val="20"/>
              <w:szCs w:val="20"/>
            </w:rPr>
            <w:t>Regényiné Dr. Börczi Vera</w:t>
          </w:r>
        </w:p>
      </w:tc>
      <w:tc>
        <w:tcPr>
          <w:tcW w:w="1034" w:type="dxa"/>
          <w:tcBorders>
            <w:top w:val="single" w:sz="2" w:space="0" w:color="000000"/>
            <w:left w:val="single" w:sz="2" w:space="0" w:color="000000"/>
            <w:bottom w:val="single" w:sz="2" w:space="0" w:color="000000"/>
            <w:right w:val="single" w:sz="2" w:space="0" w:color="000000"/>
          </w:tcBorders>
        </w:tcPr>
        <w:p w14:paraId="1576FC3A" w14:textId="77777777" w:rsidR="003E3803" w:rsidRDefault="003E3803">
          <w:pPr>
            <w:pStyle w:val="TableContents"/>
          </w:pPr>
        </w:p>
      </w:tc>
    </w:tr>
  </w:tbl>
  <w:p w14:paraId="581C9B2A" w14:textId="77777777" w:rsidR="003E3803" w:rsidRDefault="003E3803"/>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96E47A" w14:textId="77777777" w:rsidR="003E3803" w:rsidRDefault="003E3803">
    <w:pPr>
      <w:pStyle w:val="lfej"/>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F9630E" w14:textId="77777777" w:rsidR="003E3803" w:rsidRDefault="003E3803">
    <w:pPr>
      <w:pStyle w:val="lfej"/>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F25E62" w14:textId="77777777" w:rsidR="003E3803" w:rsidRDefault="003E3803">
    <w:pPr>
      <w:pStyle w:val="Header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A735051"/>
    <w:multiLevelType w:val="multilevel"/>
    <w:tmpl w:val="EBB29870"/>
    <w:lvl w:ilvl="0">
      <w:start w:val="1"/>
      <w:numFmt w:val="none"/>
      <w:pStyle w:val="Cmsor1"/>
      <w:suff w:val="nothing"/>
      <w:lvlText w:val=""/>
      <w:lvlJc w:val="left"/>
      <w:pPr>
        <w:tabs>
          <w:tab w:val="num" w:pos="0"/>
        </w:tabs>
        <w:ind w:left="0" w:firstLine="0"/>
      </w:pPr>
    </w:lvl>
    <w:lvl w:ilvl="1">
      <w:start w:val="1"/>
      <w:numFmt w:val="none"/>
      <w:pStyle w:val="Cmsor2"/>
      <w:suff w:val="nothing"/>
      <w:lvlText w:val=""/>
      <w:lvlJc w:val="left"/>
      <w:pPr>
        <w:tabs>
          <w:tab w:val="num" w:pos="0"/>
        </w:tabs>
        <w:ind w:left="0" w:firstLine="0"/>
      </w:pPr>
    </w:lvl>
    <w:lvl w:ilvl="2">
      <w:start w:val="1"/>
      <w:numFmt w:val="none"/>
      <w:pStyle w:val="Cmsor3"/>
      <w:suff w:val="nothing"/>
      <w:lvlText w:val=""/>
      <w:lvlJc w:val="left"/>
      <w:pPr>
        <w:tabs>
          <w:tab w:val="num" w:pos="0"/>
        </w:tabs>
        <w:ind w:left="0" w:firstLine="0"/>
      </w:pPr>
    </w:lvl>
    <w:lvl w:ilvl="3">
      <w:start w:val="1"/>
      <w:numFmt w:val="none"/>
      <w:pStyle w:val="Cmsor4"/>
      <w:suff w:val="nothing"/>
      <w:lvlText w:val=""/>
      <w:lvlJc w:val="left"/>
      <w:pPr>
        <w:tabs>
          <w:tab w:val="num" w:pos="0"/>
        </w:tabs>
        <w:ind w:left="0" w:firstLine="0"/>
      </w:pPr>
    </w:lvl>
    <w:lvl w:ilvl="4">
      <w:start w:val="1"/>
      <w:numFmt w:val="none"/>
      <w:pStyle w:val="Cmsor5"/>
      <w:suff w:val="nothing"/>
      <w:lvlText w:val=""/>
      <w:lvlJc w:val="left"/>
      <w:pPr>
        <w:tabs>
          <w:tab w:val="num" w:pos="0"/>
        </w:tabs>
        <w:ind w:left="0" w:firstLine="0"/>
      </w:pPr>
    </w:lvl>
    <w:lvl w:ilvl="5">
      <w:start w:val="1"/>
      <w:numFmt w:val="none"/>
      <w:pStyle w:val="Cmsor6"/>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16cid:durableId="162654694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9"/>
  <w:autoHyphenation/>
  <w:hyphenationZone w:val="425"/>
  <w:evenAndOddHeader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3803"/>
    <w:rsid w:val="000541A3"/>
    <w:rsid w:val="002B5501"/>
    <w:rsid w:val="003E3803"/>
    <w:rsid w:val="00D34359"/>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8FF5AB"/>
  <w15:docId w15:val="{B0EDE065-5797-4BEE-9632-8D06D5EBDF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Liberation Serif" w:eastAsia="Noto Serif CJK SC" w:hAnsi="Liberation Serif" w:cs="Lohit Devanagari"/>
        <w:kern w:val="2"/>
        <w:sz w:val="24"/>
        <w:szCs w:val="24"/>
        <w:lang w:val="hu-HU"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style>
  <w:style w:type="paragraph" w:styleId="Cmsor1">
    <w:name w:val="heading 1"/>
    <w:basedOn w:val="Heading"/>
    <w:next w:val="Szvegtrzs"/>
    <w:uiPriority w:val="9"/>
    <w:qFormat/>
    <w:pPr>
      <w:numPr>
        <w:numId w:val="1"/>
      </w:numPr>
      <w:outlineLvl w:val="0"/>
    </w:pPr>
    <w:rPr>
      <w:b/>
      <w:bCs/>
      <w:sz w:val="36"/>
      <w:szCs w:val="36"/>
    </w:rPr>
  </w:style>
  <w:style w:type="paragraph" w:styleId="Cmsor2">
    <w:name w:val="heading 2"/>
    <w:basedOn w:val="Heading"/>
    <w:next w:val="Szvegtrzs"/>
    <w:uiPriority w:val="9"/>
    <w:semiHidden/>
    <w:unhideWhenUsed/>
    <w:qFormat/>
    <w:pPr>
      <w:numPr>
        <w:ilvl w:val="1"/>
        <w:numId w:val="1"/>
      </w:numPr>
      <w:spacing w:before="200"/>
      <w:outlineLvl w:val="1"/>
    </w:pPr>
    <w:rPr>
      <w:b/>
      <w:bCs/>
      <w:sz w:val="32"/>
      <w:szCs w:val="32"/>
    </w:rPr>
  </w:style>
  <w:style w:type="paragraph" w:styleId="Cmsor3">
    <w:name w:val="heading 3"/>
    <w:basedOn w:val="Heading"/>
    <w:next w:val="Szvegtrzs"/>
    <w:uiPriority w:val="9"/>
    <w:semiHidden/>
    <w:unhideWhenUsed/>
    <w:qFormat/>
    <w:pPr>
      <w:numPr>
        <w:ilvl w:val="2"/>
        <w:numId w:val="1"/>
      </w:numPr>
      <w:spacing w:before="140"/>
      <w:outlineLvl w:val="2"/>
    </w:pPr>
    <w:rPr>
      <w:b/>
      <w:bCs/>
    </w:rPr>
  </w:style>
  <w:style w:type="paragraph" w:styleId="Cmsor4">
    <w:name w:val="heading 4"/>
    <w:basedOn w:val="Heading"/>
    <w:next w:val="Szvegtrzs"/>
    <w:uiPriority w:val="9"/>
    <w:semiHidden/>
    <w:unhideWhenUsed/>
    <w:qFormat/>
    <w:pPr>
      <w:numPr>
        <w:ilvl w:val="3"/>
        <w:numId w:val="1"/>
      </w:numPr>
      <w:spacing w:before="120"/>
      <w:outlineLvl w:val="3"/>
    </w:pPr>
    <w:rPr>
      <w:b/>
      <w:bCs/>
      <w:i/>
      <w:iCs/>
      <w:sz w:val="27"/>
      <w:szCs w:val="27"/>
    </w:rPr>
  </w:style>
  <w:style w:type="paragraph" w:styleId="Cmsor5">
    <w:name w:val="heading 5"/>
    <w:basedOn w:val="Heading"/>
    <w:next w:val="Szvegtrzs"/>
    <w:uiPriority w:val="9"/>
    <w:semiHidden/>
    <w:unhideWhenUsed/>
    <w:qFormat/>
    <w:pPr>
      <w:numPr>
        <w:ilvl w:val="4"/>
        <w:numId w:val="1"/>
      </w:numPr>
      <w:spacing w:before="120" w:after="60"/>
      <w:outlineLvl w:val="4"/>
    </w:pPr>
    <w:rPr>
      <w:b/>
      <w:bCs/>
      <w:sz w:val="24"/>
      <w:szCs w:val="24"/>
    </w:rPr>
  </w:style>
  <w:style w:type="paragraph" w:styleId="Cmsor6">
    <w:name w:val="heading 6"/>
    <w:basedOn w:val="Heading"/>
    <w:next w:val="Szvegtrzs"/>
    <w:uiPriority w:val="9"/>
    <w:semiHidden/>
    <w:unhideWhenUsed/>
    <w:qFormat/>
    <w:pPr>
      <w:numPr>
        <w:ilvl w:val="5"/>
        <w:numId w:val="1"/>
      </w:numPr>
      <w:spacing w:before="60" w:after="60"/>
      <w:outlineLvl w:val="5"/>
    </w:pPr>
    <w:rPr>
      <w:b/>
      <w:bCs/>
      <w:i/>
      <w:iCs/>
      <w:sz w:val="24"/>
      <w:szCs w:val="24"/>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styleId="Hiperhivatkozs">
    <w:name w:val="Hyperlink"/>
    <w:rPr>
      <w:color w:val="000080"/>
      <w:u w:val="single"/>
    </w:rPr>
  </w:style>
  <w:style w:type="character" w:styleId="Mrltotthiperhivatkozs">
    <w:name w:val="FollowedHyperlink"/>
    <w:rPr>
      <w:color w:val="800000"/>
      <w:u w:val="single"/>
    </w:rPr>
  </w:style>
  <w:style w:type="character" w:customStyle="1" w:styleId="NumberingSymbols">
    <w:name w:val="Numbering Symbols"/>
    <w:qFormat/>
  </w:style>
  <w:style w:type="character" w:customStyle="1" w:styleId="Bullets">
    <w:name w:val="Bullets"/>
    <w:qFormat/>
    <w:rPr>
      <w:rFonts w:ascii="OpenSymbol" w:eastAsia="OpenSymbol" w:hAnsi="OpenSymbol" w:cs="OpenSymbol"/>
    </w:rPr>
  </w:style>
  <w:style w:type="paragraph" w:customStyle="1" w:styleId="Heading">
    <w:name w:val="Heading"/>
    <w:basedOn w:val="Norml"/>
    <w:next w:val="Szvegtrzs"/>
    <w:qFormat/>
    <w:pPr>
      <w:keepNext/>
      <w:spacing w:before="240" w:after="120"/>
    </w:pPr>
    <w:rPr>
      <w:rFonts w:ascii="Liberation Sans" w:eastAsia="Noto Sans CJK SC" w:hAnsi="Liberation Sans"/>
      <w:sz w:val="28"/>
      <w:szCs w:val="28"/>
    </w:rPr>
  </w:style>
  <w:style w:type="paragraph" w:styleId="Szvegtrzs">
    <w:name w:val="Body Text"/>
    <w:basedOn w:val="Norml"/>
    <w:pPr>
      <w:spacing w:after="140" w:line="276" w:lineRule="auto"/>
    </w:pPr>
  </w:style>
  <w:style w:type="paragraph" w:styleId="Lista">
    <w:name w:val="List"/>
    <w:basedOn w:val="Szvegtrzs"/>
  </w:style>
  <w:style w:type="paragraph" w:styleId="Kpalrs">
    <w:name w:val="caption"/>
    <w:basedOn w:val="Norml"/>
    <w:qFormat/>
    <w:pPr>
      <w:suppressLineNumbers/>
      <w:spacing w:before="120" w:after="120"/>
    </w:pPr>
    <w:rPr>
      <w:i/>
      <w:iCs/>
    </w:rPr>
  </w:style>
  <w:style w:type="paragraph" w:customStyle="1" w:styleId="Index">
    <w:name w:val="Index"/>
    <w:basedOn w:val="Norml"/>
    <w:qFormat/>
    <w:pPr>
      <w:suppressLineNumbers/>
    </w:pPr>
  </w:style>
  <w:style w:type="paragraph" w:customStyle="1" w:styleId="HeaderandFooter">
    <w:name w:val="Header and Footer"/>
    <w:basedOn w:val="Norml"/>
    <w:qFormat/>
    <w:pPr>
      <w:suppressLineNumbers/>
      <w:tabs>
        <w:tab w:val="center" w:pos="4819"/>
        <w:tab w:val="right" w:pos="9638"/>
      </w:tabs>
    </w:pPr>
  </w:style>
  <w:style w:type="paragraph" w:styleId="lfej">
    <w:name w:val="header"/>
    <w:basedOn w:val="HeaderandFooter"/>
  </w:style>
  <w:style w:type="paragraph" w:customStyle="1" w:styleId="TableContents">
    <w:name w:val="Table Contents"/>
    <w:basedOn w:val="Norml"/>
    <w:qFormat/>
    <w:pPr>
      <w:suppressLineNumbers/>
    </w:pPr>
  </w:style>
  <w:style w:type="paragraph" w:styleId="llb">
    <w:name w:val="footer"/>
    <w:basedOn w:val="HeaderandFooter"/>
  </w:style>
  <w:style w:type="paragraph" w:customStyle="1" w:styleId="HeaderLeft">
    <w:name w:val="Header Left"/>
    <w:basedOn w:val="lfej"/>
    <w:qFormat/>
    <w:pPr>
      <w:tabs>
        <w:tab w:val="clear" w:pos="4819"/>
        <w:tab w:val="clear" w:pos="9638"/>
        <w:tab w:val="center" w:pos="4876"/>
        <w:tab w:val="right" w:pos="9752"/>
      </w:tabs>
    </w:pPr>
  </w:style>
  <w:style w:type="paragraph" w:customStyle="1" w:styleId="TableHeading">
    <w:name w:val="Table Heading"/>
    <w:basedOn w:val="TableContents"/>
    <w:qFormat/>
    <w:pPr>
      <w:jc w:val="center"/>
    </w:pPr>
    <w:rPr>
      <w:b/>
      <w:bCs/>
    </w:rPr>
  </w:style>
  <w:style w:type="paragraph" w:customStyle="1" w:styleId="HorizontalLine">
    <w:name w:val="Horizontal Line"/>
    <w:basedOn w:val="Norml"/>
    <w:next w:val="Szvegtrzs"/>
    <w:qFormat/>
    <w:pPr>
      <w:suppressLineNumbers/>
      <w:pBdr>
        <w:bottom w:val="double" w:sz="2" w:space="0" w:color="808080"/>
      </w:pBdr>
      <w:spacing w:after="283"/>
    </w:pPr>
    <w:rPr>
      <w:sz w:val="12"/>
      <w:szCs w:val="1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6.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styles" Target="styles.xml"/><Relationship Id="rId16" Type="http://schemas.openxmlformats.org/officeDocument/2006/relationships/footer" Target="footer4.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footer" Target="footer6.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header" Target="header4.xml"/></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423</Words>
  <Characters>2924</Characters>
  <Application>Microsoft Office Word</Application>
  <DocSecurity>0</DocSecurity>
  <Lines>24</Lines>
  <Paragraphs>6</Paragraphs>
  <ScaleCrop>false</ScaleCrop>
  <Company/>
  <LinksUpToDate>false</LinksUpToDate>
  <CharactersWithSpaces>3341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Udvardi Dávid</dc:creator>
  <dc:description/>
  <cp:lastModifiedBy>Regényiné dr. Börczi Vera</cp:lastModifiedBy>
  <cp:revision>2</cp:revision>
  <dcterms:created xsi:type="dcterms:W3CDTF">2026-08-28T06:50:00Z</dcterms:created>
  <dcterms:modified xsi:type="dcterms:W3CDTF">2026-08-28T06:50:00Z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ingleXMLDocument_count">
    <vt:r8>1</vt:r8>
  </property>
</Properties>
</file>